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D843B" w14:textId="77777777" w:rsidR="002706C8" w:rsidRDefault="002706C8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Siatkatabeli"/>
        <w:tblW w:w="10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518"/>
        <w:gridCol w:w="2330"/>
        <w:gridCol w:w="1166"/>
        <w:gridCol w:w="1166"/>
        <w:gridCol w:w="1166"/>
        <w:gridCol w:w="1166"/>
        <w:gridCol w:w="1166"/>
      </w:tblGrid>
      <w:tr w:rsidR="00427D9D" w14:paraId="3342AF18" w14:textId="77777777" w:rsidTr="00763225">
        <w:tc>
          <w:tcPr>
            <w:tcW w:w="4848" w:type="dxa"/>
            <w:gridSpan w:val="2"/>
          </w:tcPr>
          <w:p w14:paraId="35E0CDBE" w14:textId="04873517" w:rsidR="00427D9D" w:rsidRPr="00427D9D" w:rsidRDefault="004D6441" w:rsidP="00427D9D">
            <w:pPr>
              <w:spacing w:line="320" w:lineRule="exact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Sprawienie pogrzebu</w:t>
            </w:r>
          </w:p>
          <w:p w14:paraId="025F66BA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</w:tcPr>
          <w:p w14:paraId="20F4A638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</w:tcPr>
          <w:p w14:paraId="6499721C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</w:tcPr>
          <w:p w14:paraId="6DBB7CC1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</w:tcPr>
          <w:p w14:paraId="4CADD71F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</w:tcPr>
          <w:p w14:paraId="098AF76C" w14:textId="3C4C246D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427D9D" w14:paraId="04890DFB" w14:textId="77777777" w:rsidTr="00763225">
        <w:trPr>
          <w:trHeight w:hRule="exact" w:val="567"/>
        </w:trPr>
        <w:tc>
          <w:tcPr>
            <w:tcW w:w="2518" w:type="dxa"/>
            <w:tcBorders>
              <w:bottom w:val="single" w:sz="2" w:space="0" w:color="auto"/>
            </w:tcBorders>
          </w:tcPr>
          <w:p w14:paraId="03CE54E8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6"/>
            <w:tcBorders>
              <w:bottom w:val="single" w:sz="2" w:space="0" w:color="auto"/>
            </w:tcBorders>
          </w:tcPr>
          <w:p w14:paraId="1D9BFEC2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427D9D" w14:paraId="5ECBBBDA" w14:textId="77777777" w:rsidTr="00763225"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14:paraId="18E9FDD3" w14:textId="3C71DB84" w:rsidR="00427D9D" w:rsidRPr="00427D9D" w:rsidRDefault="004D6441" w:rsidP="00427D9D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Akty normatywne warunk</w:t>
            </w:r>
            <w:r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jące sprawienie pogrzebu</w:t>
            </w:r>
          </w:p>
          <w:p w14:paraId="6B4427C6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24CA0C3C" w14:textId="5687116E" w:rsidR="004D6441" w:rsidRPr="004D6441" w:rsidRDefault="004D6441" w:rsidP="004D6441">
            <w:pPr>
              <w:ind w:left="360" w:hanging="360"/>
              <w:jc w:val="both"/>
              <w:rPr>
                <w:b/>
                <w:sz w:val="18"/>
                <w:szCs w:val="18"/>
              </w:rPr>
            </w:pPr>
            <w:r w:rsidRPr="004D6441">
              <w:rPr>
                <w:b/>
                <w:sz w:val="18"/>
                <w:szCs w:val="18"/>
              </w:rPr>
              <w:t>Ustawa z dnia 31 stycznia 1959 r. o cmentarzach i chowaniu zmarłych</w:t>
            </w:r>
            <w:r w:rsidRPr="004D6441">
              <w:rPr>
                <w:sz w:val="18"/>
                <w:szCs w:val="18"/>
              </w:rPr>
              <w:t xml:space="preserve"> (</w:t>
            </w:r>
            <w:proofErr w:type="spellStart"/>
            <w:r w:rsidRPr="004D6441">
              <w:rPr>
                <w:sz w:val="18"/>
                <w:szCs w:val="18"/>
              </w:rPr>
              <w:t>t.jedn</w:t>
            </w:r>
            <w:proofErr w:type="spellEnd"/>
            <w:r w:rsidRPr="004D6441">
              <w:rPr>
                <w:sz w:val="18"/>
                <w:szCs w:val="18"/>
              </w:rPr>
              <w:t xml:space="preserve">. </w:t>
            </w:r>
            <w:proofErr w:type="spellStart"/>
            <w:r w:rsidRPr="004D6441">
              <w:rPr>
                <w:sz w:val="18"/>
                <w:szCs w:val="18"/>
              </w:rPr>
              <w:t>Dz.U</w:t>
            </w:r>
            <w:proofErr w:type="spellEnd"/>
            <w:r w:rsidRPr="004D6441">
              <w:rPr>
                <w:sz w:val="18"/>
                <w:szCs w:val="18"/>
              </w:rPr>
              <w:t>. 2015, poz. 2126)</w:t>
            </w:r>
          </w:p>
          <w:p w14:paraId="76440DCB" w14:textId="285DC960" w:rsidR="004D6441" w:rsidRPr="004D6441" w:rsidRDefault="004D6441" w:rsidP="004D6441">
            <w:pPr>
              <w:spacing w:before="100"/>
              <w:ind w:left="357" w:hanging="357"/>
              <w:jc w:val="both"/>
              <w:rPr>
                <w:b/>
                <w:sz w:val="18"/>
                <w:szCs w:val="18"/>
              </w:rPr>
            </w:pPr>
            <w:r w:rsidRPr="004D6441">
              <w:rPr>
                <w:b/>
                <w:sz w:val="18"/>
                <w:szCs w:val="18"/>
              </w:rPr>
              <w:t>Ustawa z dnia 12 marca 2004 r. o pomocy społecznej</w:t>
            </w:r>
            <w:r w:rsidRPr="004D6441">
              <w:rPr>
                <w:sz w:val="18"/>
                <w:szCs w:val="18"/>
              </w:rPr>
              <w:t xml:space="preserve"> (</w:t>
            </w:r>
            <w:proofErr w:type="spellStart"/>
            <w:r w:rsidRPr="004D6441">
              <w:rPr>
                <w:sz w:val="18"/>
                <w:szCs w:val="18"/>
              </w:rPr>
              <w:t>t.jedn</w:t>
            </w:r>
            <w:proofErr w:type="spellEnd"/>
            <w:r w:rsidRPr="004D6441">
              <w:rPr>
                <w:sz w:val="18"/>
                <w:szCs w:val="18"/>
              </w:rPr>
              <w:t xml:space="preserve">. </w:t>
            </w:r>
            <w:proofErr w:type="spellStart"/>
            <w:r w:rsidRPr="004D6441">
              <w:rPr>
                <w:sz w:val="18"/>
                <w:szCs w:val="18"/>
              </w:rPr>
              <w:t>Dz.U</w:t>
            </w:r>
            <w:proofErr w:type="spellEnd"/>
            <w:r w:rsidRPr="004D6441">
              <w:rPr>
                <w:sz w:val="18"/>
                <w:szCs w:val="18"/>
              </w:rPr>
              <w:t>. 2015, poz. 163 ze zm.)</w:t>
            </w:r>
          </w:p>
          <w:p w14:paraId="2BD22733" w14:textId="638FCB93" w:rsidR="004D6441" w:rsidRPr="004D6441" w:rsidRDefault="004D6441" w:rsidP="004D6441">
            <w:pPr>
              <w:spacing w:before="100"/>
              <w:ind w:left="357" w:hanging="357"/>
              <w:jc w:val="both"/>
              <w:rPr>
                <w:b/>
                <w:sz w:val="18"/>
                <w:szCs w:val="18"/>
              </w:rPr>
            </w:pPr>
            <w:r w:rsidRPr="004D6441">
              <w:rPr>
                <w:b/>
                <w:sz w:val="18"/>
                <w:szCs w:val="18"/>
              </w:rPr>
              <w:t>Uchwały rad poszczególnych gmin</w:t>
            </w:r>
            <w:r w:rsidRPr="004D6441">
              <w:rPr>
                <w:sz w:val="18"/>
                <w:szCs w:val="18"/>
              </w:rPr>
              <w:t xml:space="preserve"> regulujące kwestie szczegółowe, takie jak:</w:t>
            </w:r>
          </w:p>
          <w:p w14:paraId="38368C25" w14:textId="718DB26C" w:rsidR="004D6441" w:rsidRPr="004D6441" w:rsidRDefault="004D6441" w:rsidP="004D6441">
            <w:pPr>
              <w:ind w:left="176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4D6441">
              <w:rPr>
                <w:sz w:val="18"/>
                <w:szCs w:val="18"/>
              </w:rPr>
              <w:t>dokładne zasady składania wniosku o pokrycie kosztów pochówku przez gminę w sytuacji, gdy osoba uprawniona do sprawienia pogrzebu nie posiada odpowiednich środków finansowych,</w:t>
            </w:r>
          </w:p>
          <w:p w14:paraId="1FAB3F42" w14:textId="5848FE4E" w:rsidR="004D6441" w:rsidRPr="004D6441" w:rsidRDefault="004D6441" w:rsidP="004D6441">
            <w:pPr>
              <w:ind w:left="176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4D6441">
              <w:rPr>
                <w:sz w:val="18"/>
                <w:szCs w:val="18"/>
              </w:rPr>
              <w:t>spis dokumentów, jakie są wymagane od osoby wnioskującej o pokrycie kosztów pogrzebu przez gminę,</w:t>
            </w:r>
          </w:p>
          <w:p w14:paraId="07A69C53" w14:textId="4E35412F" w:rsidR="004D6441" w:rsidRDefault="004D6441" w:rsidP="004D6441">
            <w:pPr>
              <w:ind w:left="176" w:hanging="142"/>
              <w:jc w:val="both"/>
            </w:pPr>
            <w:r>
              <w:rPr>
                <w:sz w:val="18"/>
                <w:szCs w:val="18"/>
              </w:rPr>
              <w:t xml:space="preserve">– </w:t>
            </w:r>
            <w:r w:rsidRPr="004D6441">
              <w:rPr>
                <w:sz w:val="18"/>
                <w:szCs w:val="18"/>
              </w:rPr>
              <w:t>usługi i przedmioty zapewniane przez gminę w ramach organizacji pogrzebu (przykładowo: pokrycie opłat za korzystanie z cmentarza, zakup trumny, przewóz i pochowanie zwłok, asysta żałobna na cmentarzu),</w:t>
            </w:r>
            <w:r>
              <w:t xml:space="preserve"> </w:t>
            </w:r>
          </w:p>
          <w:p w14:paraId="5844B474" w14:textId="4B76B9FD" w:rsidR="00427D9D" w:rsidRPr="004D1846" w:rsidRDefault="00427D9D" w:rsidP="004D6441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427D9D" w14:paraId="3D9A2642" w14:textId="77777777" w:rsidTr="00763225"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14:paraId="346CC898" w14:textId="6EE3F98E" w:rsidR="00FA6681" w:rsidRPr="00766509" w:rsidRDefault="00FA6681" w:rsidP="00FA6681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Pr="00FA6681">
              <w:rPr>
                <w:b/>
                <w:sz w:val="18"/>
                <w:szCs w:val="18"/>
              </w:rPr>
              <w:t xml:space="preserve">Na kim ciąży prawo </w:t>
            </w:r>
            <w:r>
              <w:rPr>
                <w:b/>
                <w:sz w:val="18"/>
                <w:szCs w:val="18"/>
              </w:rPr>
              <w:br/>
            </w:r>
            <w:r w:rsidRPr="00FA6681">
              <w:rPr>
                <w:b/>
                <w:sz w:val="18"/>
                <w:szCs w:val="18"/>
              </w:rPr>
              <w:t xml:space="preserve">i obowiązek sprawienia </w:t>
            </w:r>
            <w:r>
              <w:rPr>
                <w:b/>
                <w:sz w:val="18"/>
                <w:szCs w:val="18"/>
              </w:rPr>
              <w:br/>
            </w:r>
            <w:r w:rsidRPr="00FA6681">
              <w:rPr>
                <w:b/>
                <w:sz w:val="18"/>
                <w:szCs w:val="18"/>
              </w:rPr>
              <w:t>pogrzebu?</w:t>
            </w:r>
          </w:p>
          <w:p w14:paraId="3DCD64AF" w14:textId="5A84D1AD" w:rsidR="00427D9D" w:rsidRDefault="00427D9D" w:rsidP="00427D9D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</w:rPr>
            </w:pPr>
          </w:p>
          <w:p w14:paraId="1C951390" w14:textId="6B00E606" w:rsidR="00096FE6" w:rsidRPr="00427D9D" w:rsidRDefault="00096FE6" w:rsidP="00427D9D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3B8A4F22" w14:textId="77777777" w:rsidR="00FA6681" w:rsidRPr="00E753BC" w:rsidRDefault="00FA6681" w:rsidP="00FA6681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W pierwszej kolejności prawo do pochowania zmarłego przysługuje jego najbliższej rodzinie, tj.:</w:t>
            </w:r>
          </w:p>
          <w:p w14:paraId="440AA63D" w14:textId="52FB9CF4" w:rsidR="00FA6681" w:rsidRPr="00E753BC" w:rsidRDefault="00FA6681" w:rsidP="00FA6681">
            <w:pPr>
              <w:pStyle w:val="Akapitzlist"/>
              <w:numPr>
                <w:ilvl w:val="0"/>
                <w:numId w:val="17"/>
              </w:numPr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małżonkowi,</w:t>
            </w:r>
          </w:p>
          <w:p w14:paraId="679858A9" w14:textId="528DB0FB" w:rsidR="00FA6681" w:rsidRPr="00E753BC" w:rsidRDefault="00FA6681" w:rsidP="00FA6681">
            <w:pPr>
              <w:pStyle w:val="Akapitzlist"/>
              <w:numPr>
                <w:ilvl w:val="0"/>
                <w:numId w:val="17"/>
              </w:numPr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zstępnym (dzieciom, wnukom),</w:t>
            </w:r>
          </w:p>
          <w:p w14:paraId="5A8E37D1" w14:textId="28332A33" w:rsidR="00FA6681" w:rsidRPr="00E753BC" w:rsidRDefault="00FA6681" w:rsidP="00FA6681">
            <w:pPr>
              <w:pStyle w:val="Akapitzlist"/>
              <w:numPr>
                <w:ilvl w:val="0"/>
                <w:numId w:val="17"/>
              </w:numPr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wstępnym (rodzicom, dziadkom),</w:t>
            </w:r>
          </w:p>
          <w:p w14:paraId="1D002066" w14:textId="035991AD" w:rsidR="00FA6681" w:rsidRPr="00E753BC" w:rsidRDefault="00FA6681" w:rsidP="00FA6681">
            <w:pPr>
              <w:pStyle w:val="Akapitzlist"/>
              <w:numPr>
                <w:ilvl w:val="0"/>
                <w:numId w:val="17"/>
              </w:numPr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krewnym bocznym do czwartego stopnia pokrewieństwa (np. rodzeństwu, siostrzeńcowi, bratankowi),</w:t>
            </w:r>
          </w:p>
          <w:p w14:paraId="532F5179" w14:textId="77777777" w:rsidR="00FA6681" w:rsidRDefault="00FA6681" w:rsidP="00FA6681">
            <w:pPr>
              <w:pStyle w:val="Akapitzlist"/>
              <w:numPr>
                <w:ilvl w:val="0"/>
                <w:numId w:val="17"/>
              </w:numPr>
              <w:spacing w:after="100" w:line="220" w:lineRule="exact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powinowatym w linii prostej do pierwszego stopnia (np. teściowi, zięciowi)</w:t>
            </w:r>
          </w:p>
          <w:p w14:paraId="10AC7C32" w14:textId="5955833F" w:rsidR="00FA6681" w:rsidRPr="00FA6681" w:rsidRDefault="00FA6681" w:rsidP="00FA6681">
            <w:pPr>
              <w:pStyle w:val="Akapitzlist"/>
              <w:spacing w:before="100" w:line="220" w:lineRule="exact"/>
              <w:ind w:left="0"/>
              <w:jc w:val="both"/>
              <w:rPr>
                <w:sz w:val="18"/>
                <w:szCs w:val="18"/>
              </w:rPr>
            </w:pPr>
            <w:r w:rsidRPr="00FA6681">
              <w:rPr>
                <w:sz w:val="18"/>
                <w:szCs w:val="18"/>
              </w:rPr>
              <w:t>Jeśli pochówku z jakiegoś powodu nie dokona nikt z najbliższej rodziny zmarłego, uczelnia medyczna może złożyć wniosek o przekazanie ciała osoby zmarłej do celów naukowych – wniosek taki rozpatruje właściwy starosta. Jeżeli ciało osoby zmarłej nie zostanie pochowane przez rodzinę, ani nie zostanie przekazane ucze</w:t>
            </w:r>
            <w:r w:rsidRPr="00FA6681">
              <w:rPr>
                <w:sz w:val="18"/>
                <w:szCs w:val="18"/>
              </w:rPr>
              <w:t>l</w:t>
            </w:r>
            <w:r w:rsidRPr="00FA6681">
              <w:rPr>
                <w:sz w:val="18"/>
                <w:szCs w:val="18"/>
              </w:rPr>
              <w:t xml:space="preserve">ni medycznej, wówczas obowiązek pochowania zmarłego przechodzi na gminę właściwą ze względu na miejsce zgonu. </w:t>
            </w:r>
          </w:p>
          <w:p w14:paraId="44254E59" w14:textId="77777777" w:rsidR="00FA6681" w:rsidRPr="00E753BC" w:rsidRDefault="00FA6681" w:rsidP="00FA6681">
            <w:pPr>
              <w:spacing w:before="100" w:line="220" w:lineRule="exact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 xml:space="preserve">Sprawienie pogrzebu odbywa się w sposób zgodny z wyznaniem zmarłego (co oznacza, że organ pomocy </w:t>
            </w:r>
            <w:r w:rsidRPr="00FA6681">
              <w:rPr>
                <w:spacing w:val="-2"/>
                <w:sz w:val="18"/>
                <w:szCs w:val="18"/>
              </w:rPr>
              <w:t>społecznej jest zobowiązany ustalić, jakiego wyznania był zmarły) i w sposób ustalony przez gminę w uchwale.</w:t>
            </w:r>
            <w:r w:rsidRPr="00E753BC">
              <w:rPr>
                <w:sz w:val="18"/>
                <w:szCs w:val="18"/>
              </w:rPr>
              <w:t xml:space="preserve"> </w:t>
            </w:r>
          </w:p>
          <w:p w14:paraId="1E1C4545" w14:textId="57D6925F" w:rsidR="00427D9D" w:rsidRPr="0004597E" w:rsidRDefault="00427D9D" w:rsidP="00F45C59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AE1C27" w14:paraId="0FB368FC" w14:textId="77777777" w:rsidTr="00763225"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14:paraId="22C90A39" w14:textId="77777777" w:rsidR="00AF7A08" w:rsidRPr="00E753BC" w:rsidRDefault="00AF7A08" w:rsidP="00AF7A08">
            <w:pPr>
              <w:spacing w:line="220" w:lineRule="exact"/>
              <w:rPr>
                <w:b/>
                <w:sz w:val="18"/>
                <w:szCs w:val="18"/>
              </w:rPr>
            </w:pPr>
            <w:r w:rsidRPr="00E753BC">
              <w:rPr>
                <w:b/>
                <w:sz w:val="18"/>
                <w:szCs w:val="18"/>
              </w:rPr>
              <w:t>3. Jakie warunki należy spe</w:t>
            </w:r>
            <w:r w:rsidRPr="00E753BC">
              <w:rPr>
                <w:b/>
                <w:sz w:val="18"/>
                <w:szCs w:val="18"/>
              </w:rPr>
              <w:t>ł</w:t>
            </w:r>
            <w:r w:rsidRPr="00E753BC">
              <w:rPr>
                <w:b/>
                <w:sz w:val="18"/>
                <w:szCs w:val="18"/>
              </w:rPr>
              <w:t>nić, by uzyskać zasiłek pogrz</w:t>
            </w:r>
            <w:r w:rsidRPr="00E753BC">
              <w:rPr>
                <w:b/>
                <w:sz w:val="18"/>
                <w:szCs w:val="18"/>
              </w:rPr>
              <w:t>e</w:t>
            </w:r>
            <w:r w:rsidRPr="00E753BC">
              <w:rPr>
                <w:b/>
                <w:sz w:val="18"/>
                <w:szCs w:val="18"/>
              </w:rPr>
              <w:t>bowy?</w:t>
            </w:r>
          </w:p>
          <w:p w14:paraId="0CEE94B3" w14:textId="75358F58" w:rsidR="00AE1C27" w:rsidRPr="00080DDE" w:rsidRDefault="00AE1C27" w:rsidP="00080DDE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4A3C9DA3" w14:textId="77777777" w:rsidR="008A4AB5" w:rsidRPr="00E753BC" w:rsidRDefault="008A4AB5" w:rsidP="008A4AB5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Zgodnie z art. 77 ustawy z dnia 17 grudnia 1998 r. o emeryturach i rentach z Funduszu Ubezpieczeń Społec</w:t>
            </w:r>
            <w:r w:rsidRPr="00E753BC">
              <w:rPr>
                <w:sz w:val="18"/>
                <w:szCs w:val="18"/>
              </w:rPr>
              <w:t>z</w:t>
            </w:r>
            <w:r w:rsidRPr="00E753BC">
              <w:rPr>
                <w:sz w:val="18"/>
                <w:szCs w:val="18"/>
              </w:rPr>
              <w:t>nych (</w:t>
            </w:r>
            <w:proofErr w:type="spellStart"/>
            <w:r w:rsidRPr="00E753BC">
              <w:rPr>
                <w:sz w:val="18"/>
                <w:szCs w:val="18"/>
              </w:rPr>
              <w:t>t.jedn</w:t>
            </w:r>
            <w:proofErr w:type="spellEnd"/>
            <w:r w:rsidRPr="00E753BC">
              <w:rPr>
                <w:sz w:val="18"/>
                <w:szCs w:val="18"/>
              </w:rPr>
              <w:t xml:space="preserve">. </w:t>
            </w:r>
            <w:proofErr w:type="spellStart"/>
            <w:r w:rsidRPr="00E753BC">
              <w:rPr>
                <w:sz w:val="18"/>
                <w:szCs w:val="18"/>
              </w:rPr>
              <w:t>Dz.U</w:t>
            </w:r>
            <w:proofErr w:type="spellEnd"/>
            <w:r w:rsidRPr="00E753BC">
              <w:rPr>
                <w:sz w:val="18"/>
                <w:szCs w:val="18"/>
              </w:rPr>
              <w:t>. 2015, poz. 748 ze zm.) zasiłek pogrzebowy jest świadczeniem wypłacanym przez Zakład Ubezpieczeń Społecznych w razie śmierci osoby:</w:t>
            </w:r>
          </w:p>
          <w:p w14:paraId="1278553A" w14:textId="77777777" w:rsidR="008A4AB5" w:rsidRPr="00E753BC" w:rsidRDefault="008A4AB5" w:rsidP="008A4AB5">
            <w:pPr>
              <w:pStyle w:val="Akapitzlist"/>
              <w:numPr>
                <w:ilvl w:val="0"/>
                <w:numId w:val="18"/>
              </w:numPr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podlegającej ubezpieczeniu emerytalnemu i rentowemu,</w:t>
            </w:r>
          </w:p>
          <w:p w14:paraId="2D6A51D6" w14:textId="77777777" w:rsidR="008A4AB5" w:rsidRPr="00E753BC" w:rsidRDefault="008A4AB5" w:rsidP="008A4AB5">
            <w:pPr>
              <w:pStyle w:val="Akapitzlist"/>
              <w:numPr>
                <w:ilvl w:val="0"/>
                <w:numId w:val="18"/>
              </w:numPr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pobierającej emeryturę lub rentę,</w:t>
            </w:r>
          </w:p>
          <w:p w14:paraId="62D24852" w14:textId="77777777" w:rsidR="008A4AB5" w:rsidRPr="00E753BC" w:rsidRDefault="008A4AB5" w:rsidP="008A4AB5">
            <w:pPr>
              <w:pStyle w:val="Akapitzlist"/>
              <w:numPr>
                <w:ilvl w:val="0"/>
                <w:numId w:val="18"/>
              </w:numPr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która w dniu śmierci spełniała warunki do uzyskania emerytury lub renty,</w:t>
            </w:r>
          </w:p>
          <w:p w14:paraId="382D59DE" w14:textId="77777777" w:rsidR="008A4AB5" w:rsidRPr="00E753BC" w:rsidRDefault="008A4AB5" w:rsidP="008A4AB5">
            <w:pPr>
              <w:pStyle w:val="Akapitzlist"/>
              <w:numPr>
                <w:ilvl w:val="0"/>
                <w:numId w:val="18"/>
              </w:numPr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będącej członkiem rodziny osoby ubezpieczonej, albo pobierającej emeryturę lub rentę.</w:t>
            </w:r>
          </w:p>
          <w:p w14:paraId="3EDD5897" w14:textId="77777777" w:rsidR="008A4AB5" w:rsidRPr="00E753BC" w:rsidRDefault="008A4AB5" w:rsidP="00BB6B91">
            <w:pPr>
              <w:spacing w:before="100" w:line="220" w:lineRule="exact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Zasiłek przysługuje jednak także po ustaniu ubezpieczenia, jeśli śmierć nastąpiła w okresie pobierania przez osobę zmarłą zasiłku chorobowego, świadczenia rehabilitacyjnego lub zasiłku macierzyńskiego.</w:t>
            </w:r>
          </w:p>
          <w:p w14:paraId="4C9C6282" w14:textId="77777777" w:rsidR="008A4AB5" w:rsidRPr="00E753BC" w:rsidRDefault="008A4AB5" w:rsidP="008A4AB5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Wniosek o wypłatę zasiłku pogrzebowego może złożyć osoba, która pokryła koszty pogrzebu. Może to być także pracodawca, dom pomocy społecznej, gmina, powiat lub osoba prawna związku wyznaniowego, która pokryła koszty pogrzebu.</w:t>
            </w:r>
          </w:p>
          <w:p w14:paraId="267C0446" w14:textId="77777777" w:rsidR="008A4AB5" w:rsidRPr="00E753BC" w:rsidRDefault="008A4AB5" w:rsidP="00BB6B91">
            <w:pPr>
              <w:spacing w:before="100" w:line="220" w:lineRule="exact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Dokumenty wymagane od osoby wnioskującej o wypłatę zasiłku pogrzebowego:</w:t>
            </w:r>
          </w:p>
          <w:p w14:paraId="7EBCAC3F" w14:textId="77777777" w:rsidR="008A4AB5" w:rsidRPr="00E753BC" w:rsidRDefault="008A4AB5" w:rsidP="008A4AB5">
            <w:pPr>
              <w:pStyle w:val="Akapitzlist"/>
              <w:numPr>
                <w:ilvl w:val="0"/>
                <w:numId w:val="19"/>
              </w:numPr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wniosek na druku ZUS Z-12,</w:t>
            </w:r>
          </w:p>
          <w:p w14:paraId="2728DD48" w14:textId="77777777" w:rsidR="008A4AB5" w:rsidRPr="00E753BC" w:rsidRDefault="008A4AB5" w:rsidP="008A4AB5">
            <w:pPr>
              <w:pStyle w:val="Akapitzlist"/>
              <w:numPr>
                <w:ilvl w:val="0"/>
                <w:numId w:val="19"/>
              </w:numPr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odpis skrócony aktu zgonu,</w:t>
            </w:r>
          </w:p>
          <w:p w14:paraId="65BDD850" w14:textId="77777777" w:rsidR="008A4AB5" w:rsidRPr="00E753BC" w:rsidRDefault="008A4AB5" w:rsidP="008A4AB5">
            <w:pPr>
              <w:pStyle w:val="Akapitzlist"/>
              <w:numPr>
                <w:ilvl w:val="0"/>
                <w:numId w:val="19"/>
              </w:numPr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oryginał rachunków dokumentujących koszty pogrzebu,</w:t>
            </w:r>
          </w:p>
          <w:p w14:paraId="3F206801" w14:textId="77777777" w:rsidR="008A4AB5" w:rsidRPr="00E753BC" w:rsidRDefault="008A4AB5" w:rsidP="008A4AB5">
            <w:pPr>
              <w:pStyle w:val="Akapitzlist"/>
              <w:numPr>
                <w:ilvl w:val="0"/>
                <w:numId w:val="19"/>
              </w:numPr>
              <w:spacing w:line="220" w:lineRule="exact"/>
              <w:ind w:left="176" w:hanging="176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dokumenty potwierdzające stosunek pokrewieństwa lub powinowactwa wnioskodawcy ze zmarłym (m</w:t>
            </w:r>
            <w:r w:rsidRPr="00E753BC">
              <w:rPr>
                <w:sz w:val="18"/>
                <w:szCs w:val="18"/>
              </w:rPr>
              <w:t>o</w:t>
            </w:r>
            <w:r w:rsidRPr="00E753BC">
              <w:rPr>
                <w:sz w:val="18"/>
                <w:szCs w:val="18"/>
              </w:rPr>
              <w:t>gą to być skrócone odpisy aktów stanu cywilnego),</w:t>
            </w:r>
          </w:p>
          <w:p w14:paraId="5942BA44" w14:textId="77777777" w:rsidR="008A4AB5" w:rsidRPr="00E753BC" w:rsidRDefault="008A4AB5" w:rsidP="008A4AB5">
            <w:pPr>
              <w:pStyle w:val="Akapitzlist"/>
              <w:numPr>
                <w:ilvl w:val="0"/>
                <w:numId w:val="19"/>
              </w:numPr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zaświadczenie pracodawcy o podleganiu ubezpieczeniu emerytalnemu i rentowemu.</w:t>
            </w:r>
          </w:p>
          <w:p w14:paraId="7CB53209" w14:textId="77777777" w:rsidR="008A4AB5" w:rsidRPr="00E753BC" w:rsidRDefault="008A4AB5" w:rsidP="00BB6B91">
            <w:pPr>
              <w:spacing w:before="100" w:line="220" w:lineRule="exact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Kwota zasiłku pogrzebowego wynosi 4 000 zł.</w:t>
            </w:r>
          </w:p>
          <w:p w14:paraId="37CB5CC9" w14:textId="2C84BE55" w:rsidR="00AE1C27" w:rsidRPr="0004597E" w:rsidRDefault="00AE1C27" w:rsidP="00F45C59">
            <w:pPr>
              <w:pStyle w:val="Akapitzlist"/>
              <w:spacing w:line="220" w:lineRule="exact"/>
              <w:ind w:left="402"/>
              <w:jc w:val="both"/>
              <w:rPr>
                <w:i/>
                <w:sz w:val="18"/>
                <w:szCs w:val="18"/>
              </w:rPr>
            </w:pPr>
          </w:p>
        </w:tc>
      </w:tr>
      <w:tr w:rsidR="00080DDE" w14:paraId="11540FE7" w14:textId="77777777" w:rsidTr="00B50393"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14:paraId="13BD0CA0" w14:textId="569A0734" w:rsidR="00B50393" w:rsidRPr="00E753BC" w:rsidRDefault="00B50393" w:rsidP="00B50393">
            <w:pPr>
              <w:spacing w:line="22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E753BC">
              <w:rPr>
                <w:b/>
                <w:sz w:val="18"/>
                <w:szCs w:val="18"/>
              </w:rPr>
              <w:t>. Jakie warunki należy spe</w:t>
            </w:r>
            <w:r w:rsidRPr="00E753BC">
              <w:rPr>
                <w:b/>
                <w:sz w:val="18"/>
                <w:szCs w:val="18"/>
              </w:rPr>
              <w:t>ł</w:t>
            </w:r>
            <w:r w:rsidRPr="00E753BC">
              <w:rPr>
                <w:b/>
                <w:sz w:val="18"/>
                <w:szCs w:val="18"/>
              </w:rPr>
              <w:t>nić, by uzyskać zwrot kosztów pochówku od gminy?</w:t>
            </w:r>
          </w:p>
          <w:p w14:paraId="1AB7D78B" w14:textId="29DCB94A" w:rsidR="00080DDE" w:rsidRPr="00080DDE" w:rsidRDefault="00080DDE" w:rsidP="00F45C59">
            <w:pPr>
              <w:pStyle w:val="Akapitzlist"/>
              <w:spacing w:line="220" w:lineRule="exact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16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22A96D2E" w14:textId="77777777" w:rsidR="00B50393" w:rsidRPr="00E753BC" w:rsidRDefault="00B50393" w:rsidP="00B50393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 xml:space="preserve">Członkowie rodziny zmarłego niemający środków finansowych na sprawienie pogrzebu (i niemający przy tym prawa do zasiłku pogrzebowego z ubezpieczenia społecznego) mogą złożyć wniosek do instytucji pomocy społecznej (miejskiego ośrodka pomocy społecznej czy miejskiego ośrodka pomocy rodzinie) o pokrycie kosztów pochówku przez gminę. Szczegółowe zasady związane ze składaniem wniosku regulują uchwały rad poszczególnych gmin. </w:t>
            </w:r>
          </w:p>
          <w:p w14:paraId="58CE3B87" w14:textId="77777777" w:rsidR="00B50393" w:rsidRPr="00E753BC" w:rsidRDefault="00B50393" w:rsidP="00B50393">
            <w:pPr>
              <w:spacing w:before="100" w:line="220" w:lineRule="exact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Dokumenty, których gminy wymagają od wnioskodawcy, to m.in.:</w:t>
            </w:r>
          </w:p>
          <w:p w14:paraId="7ACE7E42" w14:textId="77777777" w:rsidR="00B50393" w:rsidRPr="00E753BC" w:rsidRDefault="00B50393" w:rsidP="00B50393">
            <w:pPr>
              <w:pStyle w:val="Akapitzlist"/>
              <w:numPr>
                <w:ilvl w:val="0"/>
                <w:numId w:val="20"/>
              </w:numPr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wniosek o sprawienie pogrzebu,</w:t>
            </w:r>
          </w:p>
          <w:p w14:paraId="5ECEB079" w14:textId="77777777" w:rsidR="00B50393" w:rsidRPr="00E753BC" w:rsidRDefault="00B50393" w:rsidP="00B50393">
            <w:pPr>
              <w:pStyle w:val="Akapitzlist"/>
              <w:numPr>
                <w:ilvl w:val="0"/>
                <w:numId w:val="20"/>
              </w:numPr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dokument tożsamości wnioskodawcy (do wglądu),</w:t>
            </w:r>
          </w:p>
          <w:p w14:paraId="3A54ED98" w14:textId="77777777" w:rsidR="00B50393" w:rsidRPr="00E753BC" w:rsidRDefault="00B50393" w:rsidP="00B50393">
            <w:pPr>
              <w:pStyle w:val="Akapitzlist"/>
              <w:numPr>
                <w:ilvl w:val="0"/>
                <w:numId w:val="20"/>
              </w:numPr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 xml:space="preserve">odpis skrócony aktu zgonu, </w:t>
            </w:r>
          </w:p>
          <w:p w14:paraId="672BBFAD" w14:textId="77777777" w:rsidR="00B50393" w:rsidRPr="00E753BC" w:rsidRDefault="00B50393" w:rsidP="00B50393">
            <w:pPr>
              <w:pStyle w:val="Akapitzlist"/>
              <w:numPr>
                <w:ilvl w:val="0"/>
                <w:numId w:val="20"/>
              </w:numPr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dokument tożsamości zmarłego,</w:t>
            </w:r>
          </w:p>
          <w:p w14:paraId="1465396D" w14:textId="77777777" w:rsidR="00B50393" w:rsidRPr="00E753BC" w:rsidRDefault="00B50393" w:rsidP="00B50393">
            <w:pPr>
              <w:pStyle w:val="Akapitzlist"/>
              <w:numPr>
                <w:ilvl w:val="0"/>
                <w:numId w:val="20"/>
              </w:numPr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 xml:space="preserve">zaświadczenie dotyczące braku uprawnień zmarłego i członków jego rodziny do zasiłku pogrzebowego, </w:t>
            </w:r>
          </w:p>
          <w:p w14:paraId="0A58BB74" w14:textId="77777777" w:rsidR="00B50393" w:rsidRDefault="00B50393" w:rsidP="00B50393">
            <w:pPr>
              <w:pStyle w:val="Akapitzlist"/>
              <w:numPr>
                <w:ilvl w:val="0"/>
                <w:numId w:val="20"/>
              </w:numPr>
              <w:spacing w:line="220" w:lineRule="exact"/>
              <w:ind w:left="0" w:firstLine="0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 xml:space="preserve">rachunki i faktury za już poniesione wydatki związane z pogrzebem. </w:t>
            </w:r>
          </w:p>
          <w:p w14:paraId="20363693" w14:textId="77777777" w:rsidR="00B50393" w:rsidRDefault="00B50393" w:rsidP="00B50393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  <w:p w14:paraId="43E835B3" w14:textId="77777777" w:rsidR="00B50393" w:rsidRDefault="00B50393" w:rsidP="00B50393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  <w:p w14:paraId="3E60EED7" w14:textId="77777777" w:rsidR="00B50393" w:rsidRPr="00B50393" w:rsidRDefault="00B50393" w:rsidP="00B50393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  <w:p w14:paraId="27B78DA4" w14:textId="47C196C2" w:rsidR="00080DDE" w:rsidRDefault="00B50393" w:rsidP="00B50393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lastRenderedPageBreak/>
              <w:t>Trzeba jednak zwrócić uwagę, że różne gminy dla sprawienia pogrzebu wymagają nieco różnych zestawów dokumentów. Dokładną informację o tym, czego wymaga dana gmina, można uzyskać we właściwym mie</w:t>
            </w:r>
            <w:r w:rsidRPr="00E753BC">
              <w:rPr>
                <w:sz w:val="18"/>
                <w:szCs w:val="18"/>
              </w:rPr>
              <w:t>j</w:t>
            </w:r>
            <w:r w:rsidRPr="00E753BC">
              <w:rPr>
                <w:sz w:val="18"/>
                <w:szCs w:val="18"/>
              </w:rPr>
              <w:t>skim ośrodku pomocy społecznej lub m</w:t>
            </w:r>
            <w:r>
              <w:rPr>
                <w:sz w:val="18"/>
                <w:szCs w:val="18"/>
              </w:rPr>
              <w:t>iejskim ośrodku pomocy rodzinie.</w:t>
            </w:r>
          </w:p>
          <w:p w14:paraId="19D4BC9A" w14:textId="5FF0493B" w:rsidR="00B50393" w:rsidRPr="00B50393" w:rsidRDefault="00B50393" w:rsidP="00B50393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B50393" w14:paraId="41303F46" w14:textId="77777777" w:rsidTr="00763225">
        <w:tc>
          <w:tcPr>
            <w:tcW w:w="2518" w:type="dxa"/>
            <w:tcBorders>
              <w:top w:val="single" w:sz="2" w:space="0" w:color="auto"/>
            </w:tcBorders>
          </w:tcPr>
          <w:p w14:paraId="370C3C97" w14:textId="42456130" w:rsidR="00B50393" w:rsidRDefault="00B50393" w:rsidP="00B50393">
            <w:pPr>
              <w:spacing w:line="220" w:lineRule="exact"/>
              <w:rPr>
                <w:b/>
                <w:sz w:val="18"/>
                <w:szCs w:val="18"/>
              </w:rPr>
            </w:pPr>
            <w:r w:rsidRPr="000732E7">
              <w:rPr>
                <w:b/>
                <w:sz w:val="18"/>
                <w:szCs w:val="18"/>
              </w:rPr>
              <w:lastRenderedPageBreak/>
              <w:t>5. Czy gmina może żądać zwrotu poniesionych kosztów pogrzebu?</w:t>
            </w:r>
          </w:p>
        </w:tc>
        <w:tc>
          <w:tcPr>
            <w:tcW w:w="8160" w:type="dxa"/>
            <w:gridSpan w:val="6"/>
            <w:tcBorders>
              <w:top w:val="single" w:sz="2" w:space="0" w:color="auto"/>
            </w:tcBorders>
          </w:tcPr>
          <w:p w14:paraId="741B0D80" w14:textId="77777777" w:rsidR="00B50393" w:rsidRPr="00E753BC" w:rsidRDefault="00B50393" w:rsidP="00EB1387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Jeżeli gmina sprawiła pogrzeb osobie zmarłej, której rodzina nie wnioskowała o pokrycie kosztów pochówku z gminnych środków pomocy społecznej, wówczas gmina ma prawo żądać zwrotu poniesionych kosztów od rodziny lub spadkobierców zmarłego.</w:t>
            </w:r>
          </w:p>
          <w:p w14:paraId="4CE1E441" w14:textId="26825610" w:rsidR="00B50393" w:rsidRPr="00E753BC" w:rsidRDefault="00B50393" w:rsidP="00EB1387">
            <w:pPr>
              <w:spacing w:before="100" w:line="220" w:lineRule="exact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>W przypadkach szczególnie uzasadnionych – zwłaszcza jeśli obowiązek zwrotu kosztów pochówku stanowi</w:t>
            </w:r>
            <w:r w:rsidRPr="00E753BC">
              <w:rPr>
                <w:sz w:val="18"/>
                <w:szCs w:val="18"/>
              </w:rPr>
              <w:t>ł</w:t>
            </w:r>
            <w:r w:rsidRPr="00E753BC">
              <w:rPr>
                <w:sz w:val="18"/>
                <w:szCs w:val="18"/>
              </w:rPr>
              <w:t xml:space="preserve">by dla członków rodziny zmarłego nadmierne obciążenie finansowe - na wniosek pracownika socjalnego lub samej osoby zainteresowanej, organ, który domagał się zwrotu środków, może umorzyć dług w całości lub </w:t>
            </w:r>
            <w:r w:rsidR="00EB1387">
              <w:rPr>
                <w:sz w:val="18"/>
                <w:szCs w:val="18"/>
              </w:rPr>
              <w:br/>
            </w:r>
            <w:r w:rsidRPr="00E753BC">
              <w:rPr>
                <w:sz w:val="18"/>
                <w:szCs w:val="18"/>
              </w:rPr>
              <w:t xml:space="preserve">w części, odroczyć termin płatności lub rozłożyć płatność na raty. Szczegółowe uregulowania dotyczące zasad zwrotu wydatków poniesionych ze środków pomocy społecznej powinny być uregulowane w uchwale rady gminy. </w:t>
            </w:r>
          </w:p>
          <w:p w14:paraId="10FE7C17" w14:textId="77777777" w:rsidR="00B50393" w:rsidRPr="00E753BC" w:rsidRDefault="00B50393" w:rsidP="00EB1387">
            <w:pPr>
              <w:spacing w:before="100" w:line="220" w:lineRule="exact"/>
              <w:jc w:val="both"/>
              <w:rPr>
                <w:sz w:val="18"/>
                <w:szCs w:val="18"/>
              </w:rPr>
            </w:pPr>
            <w:r w:rsidRPr="00E753BC">
              <w:rPr>
                <w:sz w:val="18"/>
                <w:szCs w:val="18"/>
              </w:rPr>
              <w:t xml:space="preserve">W przypadku zmarłych osób bezdomnych, gmina każdorazowo ma obowiązek sprawienia im pogrzebu. </w:t>
            </w:r>
          </w:p>
          <w:p w14:paraId="6B7D4E43" w14:textId="0B0C1DFC" w:rsidR="00B50393" w:rsidRPr="00E753BC" w:rsidRDefault="00B50393" w:rsidP="00B50393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</w:tbl>
    <w:p w14:paraId="09B72BB8" w14:textId="2CAA0EC1" w:rsidR="00C67445" w:rsidRPr="00F214CD" w:rsidRDefault="00C67445" w:rsidP="00EF5790">
      <w:pPr>
        <w:rPr>
          <w:rFonts w:ascii="Lato Regular" w:hAnsi="Lato Regular"/>
          <w:color w:val="FF0000"/>
        </w:rPr>
      </w:pPr>
      <w:bookmarkStart w:id="0" w:name="_GoBack"/>
      <w:bookmarkEnd w:id="0"/>
    </w:p>
    <w:sectPr w:rsidR="00C67445" w:rsidRPr="00F214CD" w:rsidSect="00B50393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EF6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2A6F"/>
    <w:multiLevelType w:val="hybridMultilevel"/>
    <w:tmpl w:val="5B2C2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03AAF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917E6"/>
    <w:multiLevelType w:val="hybridMultilevel"/>
    <w:tmpl w:val="01987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5C41C3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347B8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310BE"/>
    <w:multiLevelType w:val="hybridMultilevel"/>
    <w:tmpl w:val="1E18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12892"/>
    <w:multiLevelType w:val="hybridMultilevel"/>
    <w:tmpl w:val="4348A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B94C8A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32CDC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D5FE1"/>
    <w:multiLevelType w:val="hybridMultilevel"/>
    <w:tmpl w:val="FCF4B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F24C1"/>
    <w:multiLevelType w:val="hybridMultilevel"/>
    <w:tmpl w:val="4348A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55591F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403EB"/>
    <w:multiLevelType w:val="hybridMultilevel"/>
    <w:tmpl w:val="0030B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631B6"/>
    <w:multiLevelType w:val="hybridMultilevel"/>
    <w:tmpl w:val="C5C82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57D22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A34B8"/>
    <w:multiLevelType w:val="hybridMultilevel"/>
    <w:tmpl w:val="9DA69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E37CE"/>
    <w:multiLevelType w:val="hybridMultilevel"/>
    <w:tmpl w:val="0F8C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4E3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318F8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80B12"/>
    <w:multiLevelType w:val="hybridMultilevel"/>
    <w:tmpl w:val="D0E6A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FA9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6"/>
  </w:num>
  <w:num w:numId="5">
    <w:abstractNumId w:val="19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5"/>
  </w:num>
  <w:num w:numId="11">
    <w:abstractNumId w:val="8"/>
  </w:num>
  <w:num w:numId="12">
    <w:abstractNumId w:val="18"/>
  </w:num>
  <w:num w:numId="13">
    <w:abstractNumId w:val="15"/>
  </w:num>
  <w:num w:numId="14">
    <w:abstractNumId w:val="9"/>
  </w:num>
  <w:num w:numId="15">
    <w:abstractNumId w:val="1"/>
  </w:num>
  <w:num w:numId="16">
    <w:abstractNumId w:val="17"/>
  </w:num>
  <w:num w:numId="17">
    <w:abstractNumId w:val="13"/>
  </w:num>
  <w:num w:numId="18">
    <w:abstractNumId w:val="10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70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1"/>
    <w:rsid w:val="00021CDB"/>
    <w:rsid w:val="000315CB"/>
    <w:rsid w:val="0004597E"/>
    <w:rsid w:val="00054124"/>
    <w:rsid w:val="00080DDE"/>
    <w:rsid w:val="00096FE6"/>
    <w:rsid w:val="000C484D"/>
    <w:rsid w:val="000F068E"/>
    <w:rsid w:val="00107BBA"/>
    <w:rsid w:val="00114341"/>
    <w:rsid w:val="00170949"/>
    <w:rsid w:val="001A3FEB"/>
    <w:rsid w:val="001B766B"/>
    <w:rsid w:val="00212BE6"/>
    <w:rsid w:val="00213E96"/>
    <w:rsid w:val="00217690"/>
    <w:rsid w:val="0024409C"/>
    <w:rsid w:val="00245E89"/>
    <w:rsid w:val="00255B8A"/>
    <w:rsid w:val="002706C8"/>
    <w:rsid w:val="002A5C98"/>
    <w:rsid w:val="002D6F24"/>
    <w:rsid w:val="00313ACF"/>
    <w:rsid w:val="00345467"/>
    <w:rsid w:val="003A6A13"/>
    <w:rsid w:val="003B5F14"/>
    <w:rsid w:val="003D47A2"/>
    <w:rsid w:val="003D5652"/>
    <w:rsid w:val="003D6F8E"/>
    <w:rsid w:val="00427D9D"/>
    <w:rsid w:val="00436E67"/>
    <w:rsid w:val="00466788"/>
    <w:rsid w:val="0047406C"/>
    <w:rsid w:val="004868F0"/>
    <w:rsid w:val="00493AAB"/>
    <w:rsid w:val="004B6598"/>
    <w:rsid w:val="004D1846"/>
    <w:rsid w:val="004D6441"/>
    <w:rsid w:val="00517AB0"/>
    <w:rsid w:val="005518A2"/>
    <w:rsid w:val="005B54FC"/>
    <w:rsid w:val="006329FB"/>
    <w:rsid w:val="00635993"/>
    <w:rsid w:val="006571AC"/>
    <w:rsid w:val="00672A78"/>
    <w:rsid w:val="0068552F"/>
    <w:rsid w:val="00690337"/>
    <w:rsid w:val="006B627F"/>
    <w:rsid w:val="0073798D"/>
    <w:rsid w:val="00762211"/>
    <w:rsid w:val="00763225"/>
    <w:rsid w:val="007714A3"/>
    <w:rsid w:val="0078497D"/>
    <w:rsid w:val="007F2858"/>
    <w:rsid w:val="00847EA9"/>
    <w:rsid w:val="00854350"/>
    <w:rsid w:val="0088669C"/>
    <w:rsid w:val="008A4AB5"/>
    <w:rsid w:val="008A5393"/>
    <w:rsid w:val="008A7DA6"/>
    <w:rsid w:val="008C2FB1"/>
    <w:rsid w:val="008F0EE0"/>
    <w:rsid w:val="00902892"/>
    <w:rsid w:val="00907B17"/>
    <w:rsid w:val="0099656F"/>
    <w:rsid w:val="009C2A31"/>
    <w:rsid w:val="009E77C5"/>
    <w:rsid w:val="00A15F89"/>
    <w:rsid w:val="00A81C88"/>
    <w:rsid w:val="00AA1195"/>
    <w:rsid w:val="00AE1C27"/>
    <w:rsid w:val="00AF38C0"/>
    <w:rsid w:val="00AF7A08"/>
    <w:rsid w:val="00B262F4"/>
    <w:rsid w:val="00B50393"/>
    <w:rsid w:val="00BB6B91"/>
    <w:rsid w:val="00BD3D51"/>
    <w:rsid w:val="00C15CFB"/>
    <w:rsid w:val="00C23E18"/>
    <w:rsid w:val="00C52D7A"/>
    <w:rsid w:val="00C67445"/>
    <w:rsid w:val="00C84D60"/>
    <w:rsid w:val="00CB7550"/>
    <w:rsid w:val="00CC5099"/>
    <w:rsid w:val="00CE49E8"/>
    <w:rsid w:val="00D03819"/>
    <w:rsid w:val="00D16094"/>
    <w:rsid w:val="00D5005C"/>
    <w:rsid w:val="00D640D2"/>
    <w:rsid w:val="00D84E11"/>
    <w:rsid w:val="00E11D2B"/>
    <w:rsid w:val="00E31F6A"/>
    <w:rsid w:val="00E34408"/>
    <w:rsid w:val="00E40502"/>
    <w:rsid w:val="00E5143C"/>
    <w:rsid w:val="00E54226"/>
    <w:rsid w:val="00E74B5C"/>
    <w:rsid w:val="00E931B1"/>
    <w:rsid w:val="00EB1387"/>
    <w:rsid w:val="00EB4E62"/>
    <w:rsid w:val="00EE0CC7"/>
    <w:rsid w:val="00EF5790"/>
    <w:rsid w:val="00F104DD"/>
    <w:rsid w:val="00F11F09"/>
    <w:rsid w:val="00F214CD"/>
    <w:rsid w:val="00F45C59"/>
    <w:rsid w:val="00F52B49"/>
    <w:rsid w:val="00FA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FC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75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B75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765</Words>
  <Characters>4593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Araszkiewicz</dc:creator>
  <cp:keywords/>
  <dc:description/>
  <cp:lastModifiedBy>Justyna Lauer ASP</cp:lastModifiedBy>
  <cp:revision>10</cp:revision>
  <dcterms:created xsi:type="dcterms:W3CDTF">2016-04-02T09:55:00Z</dcterms:created>
  <dcterms:modified xsi:type="dcterms:W3CDTF">2016-04-02T12:38:00Z</dcterms:modified>
</cp:coreProperties>
</file>